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77777777" w:rsidR="0012209D" w:rsidRDefault="0012209D" w:rsidP="00321CAA">
            <w:r>
              <w:t>&lt;date&gt;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548"/>
        <w:gridCol w:w="845"/>
        <w:gridCol w:w="1723"/>
      </w:tblGrid>
      <w:tr w:rsidR="0012209D" w14:paraId="15BF086F" w14:textId="77777777" w:rsidTr="004E08BC">
        <w:tc>
          <w:tcPr>
            <w:tcW w:w="2511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116" w:type="dxa"/>
            <w:gridSpan w:val="3"/>
          </w:tcPr>
          <w:p w14:paraId="15BF086E" w14:textId="0994671E" w:rsidR="0012209D" w:rsidRPr="00447FD8" w:rsidRDefault="00B70457" w:rsidP="00DA41F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Facilities </w:t>
            </w:r>
            <w:r w:rsidR="00863933">
              <w:rPr>
                <w:b/>
                <w:bCs/>
              </w:rPr>
              <w:t>Support</w:t>
            </w:r>
            <w:r w:rsidR="008961F9">
              <w:rPr>
                <w:b/>
                <w:bCs/>
              </w:rPr>
              <w:t xml:space="preserve"> </w:t>
            </w:r>
            <w:r w:rsidR="00DA41F1">
              <w:rPr>
                <w:b/>
                <w:bCs/>
              </w:rPr>
              <w:t>Technician</w:t>
            </w:r>
          </w:p>
        </w:tc>
      </w:tr>
      <w:tr w:rsidR="0012209D" w14:paraId="15BF0875" w14:textId="77777777" w:rsidTr="004E08BC">
        <w:tc>
          <w:tcPr>
            <w:tcW w:w="2511" w:type="dxa"/>
            <w:shd w:val="clear" w:color="auto" w:fill="D9D9D9" w:themeFill="background1" w:themeFillShade="D9"/>
          </w:tcPr>
          <w:p w14:paraId="15BF0873" w14:textId="195A19EE" w:rsidR="0012209D" w:rsidRDefault="00C55382" w:rsidP="00321CAA">
            <w:r>
              <w:t>School/Department</w:t>
            </w:r>
            <w:r w:rsidR="0012209D">
              <w:t>:</w:t>
            </w:r>
          </w:p>
        </w:tc>
        <w:tc>
          <w:tcPr>
            <w:tcW w:w="7116" w:type="dxa"/>
            <w:gridSpan w:val="3"/>
          </w:tcPr>
          <w:p w14:paraId="15BF0874" w14:textId="46D5E849" w:rsidR="0012209D" w:rsidRDefault="00863933" w:rsidP="00321CAA">
            <w:r>
              <w:t>Psychology</w:t>
            </w:r>
          </w:p>
        </w:tc>
      </w:tr>
      <w:tr w:rsidR="00746AEB" w14:paraId="07201851" w14:textId="77777777" w:rsidTr="004E08BC">
        <w:tc>
          <w:tcPr>
            <w:tcW w:w="2511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116" w:type="dxa"/>
            <w:gridSpan w:val="3"/>
          </w:tcPr>
          <w:p w14:paraId="7A897A27" w14:textId="72406986" w:rsidR="00746AEB" w:rsidRDefault="003C3A7F" w:rsidP="00321CAA">
            <w:r>
              <w:t>Environmental and Life Sciences</w:t>
            </w:r>
          </w:p>
        </w:tc>
      </w:tr>
      <w:tr w:rsidR="0012209D" w14:paraId="15BF087A" w14:textId="77777777" w:rsidTr="004E08BC">
        <w:tc>
          <w:tcPr>
            <w:tcW w:w="2511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548" w:type="dxa"/>
          </w:tcPr>
          <w:p w14:paraId="15BF0877" w14:textId="7CF89C02" w:rsidR="0012209D" w:rsidRDefault="00DA41F1" w:rsidP="00FF246F">
            <w:r>
              <w:t>Technical and Experimental (TAE)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723" w:type="dxa"/>
          </w:tcPr>
          <w:p w14:paraId="15BF0879" w14:textId="0CA62A33" w:rsidR="0012209D" w:rsidRDefault="008961F9" w:rsidP="00321CAA">
            <w:r>
              <w:t>3</w:t>
            </w:r>
          </w:p>
        </w:tc>
      </w:tr>
      <w:tr w:rsidR="0012209D" w14:paraId="15BF0881" w14:textId="77777777" w:rsidTr="004E08BC">
        <w:tc>
          <w:tcPr>
            <w:tcW w:w="2511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116" w:type="dxa"/>
            <w:gridSpan w:val="3"/>
          </w:tcPr>
          <w:p w14:paraId="15BF0880" w14:textId="56C9F4CA" w:rsidR="0012209D" w:rsidRPr="005508A2" w:rsidRDefault="00B07251" w:rsidP="00321CAA">
            <w:r w:rsidRPr="00B07251">
              <w:t>Team Leader - Senior Experimental Officer (</w:t>
            </w:r>
            <w:r>
              <w:t>L</w:t>
            </w:r>
            <w:r w:rsidRPr="00B07251">
              <w:t>4)</w:t>
            </w:r>
          </w:p>
        </w:tc>
      </w:tr>
      <w:tr w:rsidR="0012209D" w14:paraId="15BF0884" w14:textId="77777777" w:rsidTr="004E08BC">
        <w:tc>
          <w:tcPr>
            <w:tcW w:w="2511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116" w:type="dxa"/>
            <w:gridSpan w:val="3"/>
          </w:tcPr>
          <w:p w14:paraId="15BF0883" w14:textId="77777777" w:rsidR="0012209D" w:rsidRPr="005508A2" w:rsidRDefault="0012209D" w:rsidP="00321CAA"/>
        </w:tc>
      </w:tr>
      <w:tr w:rsidR="0012209D" w14:paraId="15BF0887" w14:textId="77777777" w:rsidTr="004E08BC">
        <w:tc>
          <w:tcPr>
            <w:tcW w:w="2511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116" w:type="dxa"/>
            <w:gridSpan w:val="3"/>
          </w:tcPr>
          <w:p w14:paraId="15BF0886" w14:textId="0C4C9950" w:rsidR="0012209D" w:rsidRPr="005508A2" w:rsidRDefault="00E86D1A" w:rsidP="00321CAA">
            <w:r>
              <w:t>Office and n</w:t>
            </w:r>
            <w:r w:rsidR="004E08BC">
              <w:t>on</w:t>
            </w:r>
            <w:r>
              <w:t>-o</w:t>
            </w:r>
            <w:r w:rsidR="0012209D">
              <w:t>ffice</w:t>
            </w:r>
            <w:r>
              <w:t xml:space="preserve"> </w:t>
            </w:r>
            <w:r w:rsidR="0012209D">
              <w:t xml:space="preserve">based 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2A155E6F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2A155E6F">
        <w:trPr>
          <w:trHeight w:val="1134"/>
        </w:trPr>
        <w:tc>
          <w:tcPr>
            <w:tcW w:w="10137" w:type="dxa"/>
          </w:tcPr>
          <w:p w14:paraId="26605707" w14:textId="3756EA20" w:rsidR="0012209D" w:rsidRDefault="00DA41F1" w:rsidP="5AEE9F64">
            <w:pPr>
              <w:pStyle w:val="EndnoteText"/>
              <w:suppressAutoHyphens/>
              <w:rPr>
                <w:snapToGrid w:val="0"/>
                <w:lang w:val="en-US" w:eastAsia="en-US"/>
              </w:rPr>
            </w:pPr>
            <w:r w:rsidRPr="00DA41F1">
              <w:t>To ensure the provision of effective and ef</w:t>
            </w:r>
            <w:r w:rsidR="00B219C9">
              <w:t xml:space="preserve">ficient technical </w:t>
            </w:r>
            <w:r w:rsidR="00F77159">
              <w:t>assistance</w:t>
            </w:r>
            <w:r w:rsidR="00B219C9">
              <w:t xml:space="preserve"> to </w:t>
            </w:r>
            <w:r w:rsidR="00265D2F">
              <w:t xml:space="preserve">the School of </w:t>
            </w:r>
            <w:r w:rsidR="00DC4DCD">
              <w:t>Psychology</w:t>
            </w:r>
            <w:r w:rsidR="001F5D7A">
              <w:t>,</w:t>
            </w:r>
            <w:r w:rsidRPr="00DA41F1">
              <w:t xml:space="preserve"> and its external customers</w:t>
            </w:r>
            <w:r w:rsidR="00265D2F">
              <w:t>, through t</w:t>
            </w:r>
            <w:r w:rsidR="00265D2F" w:rsidRPr="5AEE9F64">
              <w:rPr>
                <w:snapToGrid w:val="0"/>
                <w:lang w:val="en-US" w:eastAsia="en-US"/>
              </w:rPr>
              <w:t>he day</w:t>
            </w:r>
            <w:r w:rsidR="430FCD6A" w:rsidRPr="5AEE9F64">
              <w:rPr>
                <w:snapToGrid w:val="0"/>
                <w:lang w:val="en-US" w:eastAsia="en-US"/>
              </w:rPr>
              <w:t>-</w:t>
            </w:r>
            <w:r w:rsidR="00265D2F" w:rsidRPr="5AEE9F64">
              <w:rPr>
                <w:snapToGrid w:val="0"/>
                <w:lang w:val="en-US" w:eastAsia="en-US"/>
              </w:rPr>
              <w:t>to</w:t>
            </w:r>
            <w:r w:rsidR="6470775C" w:rsidRPr="5AEE9F64">
              <w:rPr>
                <w:snapToGrid w:val="0"/>
                <w:lang w:val="en-US" w:eastAsia="en-US"/>
              </w:rPr>
              <w:t>-</w:t>
            </w:r>
            <w:r w:rsidR="00265D2F" w:rsidRPr="5AEE9F64">
              <w:rPr>
                <w:snapToGrid w:val="0"/>
                <w:lang w:val="en-US" w:eastAsia="en-US"/>
              </w:rPr>
              <w:t xml:space="preserve">day </w:t>
            </w:r>
            <w:r w:rsidR="00DC4DCD" w:rsidRPr="5AEE9F64">
              <w:rPr>
                <w:snapToGrid w:val="0"/>
                <w:lang w:val="en-US" w:eastAsia="en-US"/>
              </w:rPr>
              <w:t>support</w:t>
            </w:r>
            <w:r w:rsidR="00265D2F" w:rsidRPr="5AEE9F64">
              <w:rPr>
                <w:snapToGrid w:val="0"/>
                <w:lang w:val="en-US" w:eastAsia="en-US"/>
              </w:rPr>
              <w:t xml:space="preserve"> of research and teaching </w:t>
            </w:r>
            <w:r w:rsidR="00DC4DCD" w:rsidRPr="5AEE9F64">
              <w:rPr>
                <w:snapToGrid w:val="0"/>
                <w:lang w:val="en-US" w:eastAsia="en-US"/>
              </w:rPr>
              <w:t>activities</w:t>
            </w:r>
            <w:r w:rsidR="00265D2F" w:rsidRPr="5AEE9F64">
              <w:rPr>
                <w:snapToGrid w:val="0"/>
                <w:lang w:val="en-US" w:eastAsia="en-US"/>
              </w:rPr>
              <w:t>.</w:t>
            </w:r>
          </w:p>
          <w:p w14:paraId="38FD8EAB" w14:textId="77777777" w:rsidR="00E06466" w:rsidRDefault="00E06466" w:rsidP="00265D2F">
            <w:pPr>
              <w:pStyle w:val="EndnoteText"/>
              <w:tabs>
                <w:tab w:val="left" w:pos="0"/>
              </w:tabs>
              <w:suppressAutoHyphens/>
              <w:rPr>
                <w:snapToGrid w:val="0"/>
                <w:szCs w:val="18"/>
                <w:lang w:val="en-US" w:eastAsia="en-US"/>
              </w:rPr>
            </w:pPr>
          </w:p>
          <w:p w14:paraId="6527F5C3" w14:textId="40962CB5" w:rsidR="00E06466" w:rsidRDefault="00E06466" w:rsidP="2A155E6F">
            <w:pPr>
              <w:pStyle w:val="EndnoteText"/>
              <w:suppressAutoHyphens/>
              <w:rPr>
                <w:snapToGrid w:val="0"/>
                <w:lang w:val="en-US" w:eastAsia="en-US"/>
              </w:rPr>
            </w:pPr>
            <w:r w:rsidRPr="2A155E6F">
              <w:rPr>
                <w:snapToGrid w:val="0"/>
                <w:lang w:val="en-US" w:eastAsia="en-US"/>
              </w:rPr>
              <w:t>Support School activities through the management of equipment</w:t>
            </w:r>
            <w:r w:rsidR="00C63396">
              <w:rPr>
                <w:snapToGrid w:val="0"/>
                <w:lang w:val="en-US" w:eastAsia="en-US"/>
              </w:rPr>
              <w:t xml:space="preserve"> loan pool</w:t>
            </w:r>
            <w:r w:rsidR="001A4ED7" w:rsidRPr="2A155E6F">
              <w:rPr>
                <w:snapToGrid w:val="0"/>
                <w:lang w:val="en-US" w:eastAsia="en-US"/>
              </w:rPr>
              <w:t xml:space="preserve">, </w:t>
            </w:r>
            <w:r w:rsidRPr="2A155E6F">
              <w:rPr>
                <w:snapToGrid w:val="0"/>
                <w:lang w:val="en-US" w:eastAsia="en-US"/>
              </w:rPr>
              <w:t xml:space="preserve">Psychology test library </w:t>
            </w:r>
            <w:r w:rsidR="001A4ED7" w:rsidRPr="2A155E6F">
              <w:rPr>
                <w:snapToGrid w:val="0"/>
                <w:lang w:val="en-US" w:eastAsia="en-US"/>
              </w:rPr>
              <w:t xml:space="preserve">and workshop </w:t>
            </w:r>
            <w:r w:rsidRPr="2A155E6F">
              <w:rPr>
                <w:snapToGrid w:val="0"/>
                <w:lang w:val="en-US" w:eastAsia="en-US"/>
              </w:rPr>
              <w:t>resources.</w:t>
            </w:r>
            <w:r w:rsidR="001A4ED7" w:rsidRPr="2A155E6F">
              <w:rPr>
                <w:snapToGrid w:val="0"/>
                <w:lang w:val="en-US" w:eastAsia="en-US"/>
              </w:rPr>
              <w:t xml:space="preserve"> </w:t>
            </w:r>
          </w:p>
          <w:p w14:paraId="15BF088B" w14:textId="0D54A0A7" w:rsidR="00E06466" w:rsidRDefault="00E06466" w:rsidP="00265D2F">
            <w:pPr>
              <w:pStyle w:val="EndnoteText"/>
              <w:tabs>
                <w:tab w:val="left" w:pos="0"/>
              </w:tabs>
              <w:suppressAutoHyphens/>
            </w:pP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793"/>
        <w:gridCol w:w="7828"/>
        <w:gridCol w:w="1006"/>
      </w:tblGrid>
      <w:tr w:rsidR="0012209D" w14:paraId="15BF0890" w14:textId="77777777" w:rsidTr="00951229">
        <w:trPr>
          <w:cantSplit/>
          <w:tblHeader/>
        </w:trPr>
        <w:tc>
          <w:tcPr>
            <w:tcW w:w="8621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06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A23AE7" w14:paraId="2AC073DC" w14:textId="77777777" w:rsidTr="00951229">
        <w:trPr>
          <w:cantSplit/>
        </w:trPr>
        <w:tc>
          <w:tcPr>
            <w:tcW w:w="793" w:type="dxa"/>
            <w:tcBorders>
              <w:right w:val="nil"/>
            </w:tcBorders>
          </w:tcPr>
          <w:p w14:paraId="5142B556" w14:textId="77777777" w:rsidR="00A23AE7" w:rsidRDefault="00A23AE7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828" w:type="dxa"/>
            <w:tcBorders>
              <w:left w:val="nil"/>
            </w:tcBorders>
          </w:tcPr>
          <w:p w14:paraId="073392FD" w14:textId="2963EF1D" w:rsidR="00A23AE7" w:rsidRPr="00DA41F1" w:rsidRDefault="00655C5D" w:rsidP="00EE13FB">
            <w:r w:rsidRPr="00DA41F1">
              <w:t xml:space="preserve">To </w:t>
            </w:r>
            <w:r>
              <w:t>support and instruct students, researchers, and other staff members, in the suitability and operation of equipment and facilities within the School of Psychology.</w:t>
            </w:r>
          </w:p>
        </w:tc>
        <w:tc>
          <w:tcPr>
            <w:tcW w:w="1006" w:type="dxa"/>
          </w:tcPr>
          <w:p w14:paraId="609AB938" w14:textId="7DE74C8B" w:rsidR="00A23AE7" w:rsidRDefault="001A4ED7" w:rsidP="00321CAA">
            <w:r>
              <w:t>25</w:t>
            </w:r>
            <w:r w:rsidR="00655C5D">
              <w:t>%</w:t>
            </w:r>
          </w:p>
        </w:tc>
      </w:tr>
      <w:tr w:rsidR="0012209D" w14:paraId="15BF0898" w14:textId="77777777" w:rsidTr="00951229">
        <w:trPr>
          <w:cantSplit/>
        </w:trPr>
        <w:tc>
          <w:tcPr>
            <w:tcW w:w="793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828" w:type="dxa"/>
            <w:tcBorders>
              <w:left w:val="nil"/>
            </w:tcBorders>
          </w:tcPr>
          <w:p w14:paraId="15BF0896" w14:textId="31D5AC03" w:rsidR="0012209D" w:rsidRDefault="00655C5D" w:rsidP="00EE13FB">
            <w:r>
              <w:t>To manage and maintain the loan equipment pool</w:t>
            </w:r>
            <w:r w:rsidR="00E86D1A">
              <w:t xml:space="preserve">, </w:t>
            </w:r>
            <w:r>
              <w:t>Psychology test library resources</w:t>
            </w:r>
            <w:r w:rsidR="00E86D1A">
              <w:t xml:space="preserve"> and Mobile Research Unit,</w:t>
            </w:r>
            <w:r>
              <w:t xml:space="preserve"> ensuring </w:t>
            </w:r>
            <w:r w:rsidR="00F73195">
              <w:t xml:space="preserve">resources are maintained, </w:t>
            </w:r>
            <w:r>
              <w:t>bookings are administered</w:t>
            </w:r>
            <w:r w:rsidR="000620EB">
              <w:t xml:space="preserve"> to,</w:t>
            </w:r>
            <w:r>
              <w:t xml:space="preserve"> and </w:t>
            </w:r>
            <w:r w:rsidR="008D7BC8">
              <w:t xml:space="preserve">co-ordinate </w:t>
            </w:r>
            <w:r w:rsidR="001754AE">
              <w:t xml:space="preserve">with </w:t>
            </w:r>
            <w:r>
              <w:t>other team members</w:t>
            </w:r>
            <w:r w:rsidR="001770F5">
              <w:t xml:space="preserve"> </w:t>
            </w:r>
            <w:r w:rsidR="008D7BC8">
              <w:t xml:space="preserve">to cover </w:t>
            </w:r>
            <w:r w:rsidR="00130AA0">
              <w:t xml:space="preserve">all </w:t>
            </w:r>
            <w:r w:rsidR="001770F5">
              <w:t>activit</w:t>
            </w:r>
            <w:r w:rsidR="00A028EF">
              <w:t>ies</w:t>
            </w:r>
            <w:r>
              <w:t>.</w:t>
            </w:r>
          </w:p>
        </w:tc>
        <w:tc>
          <w:tcPr>
            <w:tcW w:w="1006" w:type="dxa"/>
          </w:tcPr>
          <w:p w14:paraId="15BF0897" w14:textId="1D260EED" w:rsidR="0012209D" w:rsidRDefault="001A4ED7" w:rsidP="00321CAA">
            <w:r>
              <w:t>25%</w:t>
            </w:r>
          </w:p>
        </w:tc>
      </w:tr>
      <w:tr w:rsidR="001A4ED7" w14:paraId="23AE5BB6" w14:textId="77777777" w:rsidTr="00951229">
        <w:trPr>
          <w:cantSplit/>
        </w:trPr>
        <w:tc>
          <w:tcPr>
            <w:tcW w:w="793" w:type="dxa"/>
            <w:tcBorders>
              <w:right w:val="nil"/>
            </w:tcBorders>
          </w:tcPr>
          <w:p w14:paraId="6DF8AAE6" w14:textId="77777777" w:rsidR="001A4ED7" w:rsidRDefault="001A4ED7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828" w:type="dxa"/>
            <w:tcBorders>
              <w:left w:val="nil"/>
            </w:tcBorders>
          </w:tcPr>
          <w:p w14:paraId="77C11D5B" w14:textId="3B8572CB" w:rsidR="001A4ED7" w:rsidRDefault="001A4ED7" w:rsidP="00EE13FB">
            <w:r>
              <w:t>To work with other members of the technical team/internal and external suppliers to provide bespoke technical solutions for teaching and research projects as required by the School.</w:t>
            </w:r>
          </w:p>
        </w:tc>
        <w:tc>
          <w:tcPr>
            <w:tcW w:w="1006" w:type="dxa"/>
          </w:tcPr>
          <w:p w14:paraId="46902A2A" w14:textId="2B26A2AF" w:rsidR="001A4ED7" w:rsidRDefault="001A4ED7" w:rsidP="00321CAA">
            <w:r>
              <w:t>10%</w:t>
            </w:r>
          </w:p>
        </w:tc>
      </w:tr>
      <w:tr w:rsidR="0012209D" w14:paraId="15BF08A0" w14:textId="77777777" w:rsidTr="00951229">
        <w:trPr>
          <w:cantSplit/>
        </w:trPr>
        <w:tc>
          <w:tcPr>
            <w:tcW w:w="793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828" w:type="dxa"/>
            <w:tcBorders>
              <w:left w:val="nil"/>
            </w:tcBorders>
          </w:tcPr>
          <w:p w14:paraId="15BF089E" w14:textId="6F5C63D9" w:rsidR="0012209D" w:rsidRDefault="005822CA" w:rsidP="00321CAA">
            <w:r w:rsidRPr="00DA41F1">
              <w:t xml:space="preserve">To ensure compliance with health and safety processes within </w:t>
            </w:r>
            <w:r w:rsidR="0008504D">
              <w:t xml:space="preserve">the </w:t>
            </w:r>
            <w:r w:rsidRPr="00DA41F1">
              <w:t xml:space="preserve">work environment </w:t>
            </w:r>
            <w:r>
              <w:t xml:space="preserve">and </w:t>
            </w:r>
            <w:r w:rsidR="00130AA0">
              <w:t>maintain</w:t>
            </w:r>
            <w:r w:rsidR="00DA41F1" w:rsidRPr="00DA41F1">
              <w:t xml:space="preserve"> equipment in accordance with technical and health and safety procedures,</w:t>
            </w:r>
            <w:r w:rsidR="00130AA0">
              <w:t xml:space="preserve"> by</w:t>
            </w:r>
            <w:r w:rsidR="00DA41F1" w:rsidRPr="00DA41F1">
              <w:t xml:space="preserve"> diagnosing faults and </w:t>
            </w:r>
            <w:r w:rsidR="00F77159">
              <w:t>identifying solutions</w:t>
            </w:r>
            <w:r>
              <w:t xml:space="preserve"> to issues</w:t>
            </w:r>
            <w:r w:rsidR="00F77159">
              <w:t>,</w:t>
            </w:r>
            <w:r w:rsidR="00DA41F1" w:rsidRPr="00DA41F1">
              <w:t xml:space="preserve"> </w:t>
            </w:r>
            <w:r w:rsidR="00E86D1A">
              <w:t>liaising with internal and external suppliers where necessary.</w:t>
            </w:r>
          </w:p>
        </w:tc>
        <w:tc>
          <w:tcPr>
            <w:tcW w:w="1006" w:type="dxa"/>
          </w:tcPr>
          <w:p w14:paraId="15BF089F" w14:textId="4A91807A" w:rsidR="0012209D" w:rsidRDefault="00520C86" w:rsidP="00321CAA">
            <w:r>
              <w:t>10</w:t>
            </w:r>
            <w:r w:rsidR="00343D93">
              <w:t>%</w:t>
            </w:r>
          </w:p>
        </w:tc>
      </w:tr>
      <w:tr w:rsidR="00671F76" w14:paraId="5DEC9627" w14:textId="77777777" w:rsidTr="00951229">
        <w:trPr>
          <w:cantSplit/>
        </w:trPr>
        <w:tc>
          <w:tcPr>
            <w:tcW w:w="793" w:type="dxa"/>
            <w:tcBorders>
              <w:right w:val="nil"/>
            </w:tcBorders>
          </w:tcPr>
          <w:p w14:paraId="071DB762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828" w:type="dxa"/>
            <w:tcBorders>
              <w:left w:val="nil"/>
            </w:tcBorders>
          </w:tcPr>
          <w:p w14:paraId="1A10DA42" w14:textId="79DDEA20" w:rsidR="00671F76" w:rsidRPr="00671F76" w:rsidRDefault="00DA41F1" w:rsidP="00671F76">
            <w:r w:rsidRPr="00DA41F1">
              <w:t>To advise on the pricing and purchasing of equipment and consumables</w:t>
            </w:r>
            <w:r w:rsidR="00A70B05">
              <w:t xml:space="preserve">, </w:t>
            </w:r>
            <w:r w:rsidRPr="00DA41F1">
              <w:t>ensur</w:t>
            </w:r>
            <w:r w:rsidR="00A70B05">
              <w:t>ing</w:t>
            </w:r>
            <w:r w:rsidRPr="00DA41F1">
              <w:t xml:space="preserve"> adequate stocks of supplies</w:t>
            </w:r>
            <w:r w:rsidR="00D61F59">
              <w:t xml:space="preserve"> and that </w:t>
            </w:r>
            <w:r w:rsidRPr="00DA41F1">
              <w:t>work resources are monitored efficiently and appropriately</w:t>
            </w:r>
            <w:r w:rsidR="00E86D1A">
              <w:t xml:space="preserve"> and to gain familiarity with the University’s procurement systems and supplier chains.</w:t>
            </w:r>
          </w:p>
        </w:tc>
        <w:tc>
          <w:tcPr>
            <w:tcW w:w="1006" w:type="dxa"/>
          </w:tcPr>
          <w:p w14:paraId="1391DD89" w14:textId="1B6BDFC8" w:rsidR="00671F76" w:rsidRDefault="00520C86" w:rsidP="00671F76">
            <w:r>
              <w:t>10</w:t>
            </w:r>
            <w:r w:rsidR="00671F76">
              <w:t>%</w:t>
            </w:r>
          </w:p>
        </w:tc>
      </w:tr>
      <w:tr w:rsidR="00DA41F1" w14:paraId="4A61B05E" w14:textId="77777777" w:rsidTr="00951229">
        <w:trPr>
          <w:cantSplit/>
        </w:trPr>
        <w:tc>
          <w:tcPr>
            <w:tcW w:w="793" w:type="dxa"/>
            <w:tcBorders>
              <w:right w:val="nil"/>
            </w:tcBorders>
          </w:tcPr>
          <w:p w14:paraId="1192FBE0" w14:textId="77777777" w:rsidR="00DA41F1" w:rsidRDefault="00DA41F1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828" w:type="dxa"/>
            <w:tcBorders>
              <w:left w:val="nil"/>
            </w:tcBorders>
          </w:tcPr>
          <w:p w14:paraId="4ED5786C" w14:textId="71A24E3B" w:rsidR="00DA41F1" w:rsidRPr="00DA41F1" w:rsidRDefault="00520C86" w:rsidP="00671F76">
            <w:r>
              <w:t xml:space="preserve">Provide </w:t>
            </w:r>
            <w:r w:rsidR="00130AA0">
              <w:t>a reactive</w:t>
            </w:r>
            <w:r>
              <w:t xml:space="preserve"> response to time-critical activities that support teaching and research.</w:t>
            </w:r>
          </w:p>
        </w:tc>
        <w:tc>
          <w:tcPr>
            <w:tcW w:w="1006" w:type="dxa"/>
          </w:tcPr>
          <w:p w14:paraId="6E799BFA" w14:textId="7F9BE9F9" w:rsidR="00DA41F1" w:rsidRDefault="00520C86" w:rsidP="00671F76">
            <w:r>
              <w:t>10</w:t>
            </w:r>
            <w:r w:rsidR="00DA41F1">
              <w:t>%</w:t>
            </w:r>
          </w:p>
        </w:tc>
      </w:tr>
      <w:tr w:rsidR="00671F76" w14:paraId="02C51BD6" w14:textId="77777777" w:rsidTr="00951229">
        <w:trPr>
          <w:cantSplit/>
        </w:trPr>
        <w:tc>
          <w:tcPr>
            <w:tcW w:w="793" w:type="dxa"/>
            <w:tcBorders>
              <w:right w:val="nil"/>
            </w:tcBorders>
          </w:tcPr>
          <w:p w14:paraId="6979F6BB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828" w:type="dxa"/>
            <w:tcBorders>
              <w:left w:val="nil"/>
            </w:tcBorders>
          </w:tcPr>
          <w:p w14:paraId="06FB577A" w14:textId="23F4FE20" w:rsidR="00B665D7" w:rsidRPr="00447FD8" w:rsidRDefault="00520C86" w:rsidP="00671F76">
            <w:r w:rsidRPr="00DA41F1">
              <w:t>To ensure accurate completion of all documentation, reports and records.</w:t>
            </w:r>
          </w:p>
        </w:tc>
        <w:tc>
          <w:tcPr>
            <w:tcW w:w="1006" w:type="dxa"/>
          </w:tcPr>
          <w:p w14:paraId="73579A3D" w14:textId="04727665" w:rsidR="00671F76" w:rsidRDefault="00356E31" w:rsidP="00671F76">
            <w:r>
              <w:t>5</w:t>
            </w:r>
            <w:r w:rsidR="00671F76">
              <w:t>%</w:t>
            </w:r>
          </w:p>
        </w:tc>
      </w:tr>
      <w:tr w:rsidR="002F52FC" w14:paraId="541236CE" w14:textId="77777777" w:rsidTr="00951229">
        <w:trPr>
          <w:cantSplit/>
        </w:trPr>
        <w:tc>
          <w:tcPr>
            <w:tcW w:w="793" w:type="dxa"/>
            <w:tcBorders>
              <w:right w:val="nil"/>
            </w:tcBorders>
          </w:tcPr>
          <w:p w14:paraId="0B299946" w14:textId="77777777" w:rsidR="002F52FC" w:rsidRDefault="002F52FC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828" w:type="dxa"/>
            <w:tcBorders>
              <w:left w:val="nil"/>
            </w:tcBorders>
          </w:tcPr>
          <w:p w14:paraId="55E9D890" w14:textId="08C5C6E7" w:rsidR="002F52FC" w:rsidRPr="00343D93" w:rsidRDefault="00520C86" w:rsidP="00671F76">
            <w:r w:rsidRPr="00343D93">
              <w:t>Any other duties as allocated by the line manager following consultation with the post holder.</w:t>
            </w:r>
          </w:p>
        </w:tc>
        <w:tc>
          <w:tcPr>
            <w:tcW w:w="1006" w:type="dxa"/>
          </w:tcPr>
          <w:p w14:paraId="0725E6C1" w14:textId="2EE11A6F" w:rsidR="002F52FC" w:rsidRDefault="008C7A02" w:rsidP="00671F76">
            <w:r>
              <w:t>5%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5AEE9F64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5AEE9F64">
        <w:trPr>
          <w:trHeight w:val="1134"/>
        </w:trPr>
        <w:tc>
          <w:tcPr>
            <w:tcW w:w="10137" w:type="dxa"/>
          </w:tcPr>
          <w:p w14:paraId="0C4B0C29" w14:textId="3066804D" w:rsidR="004978F1" w:rsidRDefault="004978F1" w:rsidP="00B02F38">
            <w:r>
              <w:t>External contact with suppliers and customers for product technical specifications and quotations.</w:t>
            </w:r>
          </w:p>
          <w:p w14:paraId="11BCEF7D" w14:textId="77777777" w:rsidR="005A5D17" w:rsidRDefault="005A5D17" w:rsidP="00B02F38"/>
          <w:p w14:paraId="6BFB5015" w14:textId="4F7D6812" w:rsidR="005A5D17" w:rsidRDefault="00AA136E" w:rsidP="005A5D17">
            <w:r>
              <w:t xml:space="preserve">Liaison with </w:t>
            </w:r>
            <w:r w:rsidR="006C3BB7">
              <w:t>Professional Services</w:t>
            </w:r>
            <w:r w:rsidR="00C976BD">
              <w:t xml:space="preserve">; Particularly iSolutions for IT support and </w:t>
            </w:r>
            <w:r>
              <w:t>Estates and Facilities</w:t>
            </w:r>
            <w:r w:rsidR="005A5D17">
              <w:t xml:space="preserve"> for</w:t>
            </w:r>
          </w:p>
          <w:p w14:paraId="0D156E89" w14:textId="77777777" w:rsidR="005A5D17" w:rsidRDefault="005A5D17" w:rsidP="005A5D17">
            <w:pPr>
              <w:spacing w:after="120"/>
            </w:pPr>
            <w:r>
              <w:t>maintenance and waste disposal.</w:t>
            </w:r>
          </w:p>
          <w:p w14:paraId="15BF08B0" w14:textId="7A43FE96" w:rsidR="00467596" w:rsidRDefault="50D87D90" w:rsidP="5AEE9F64">
            <w:pPr>
              <w:spacing w:after="120"/>
            </w:pPr>
            <w:r>
              <w:t>Direct contact with students, academics</w:t>
            </w:r>
            <w:r w:rsidR="441207A9">
              <w:t>, the Faculty Operating Service</w:t>
            </w:r>
            <w:r>
              <w:t xml:space="preserve"> </w:t>
            </w:r>
            <w:r w:rsidR="4D54F2D0">
              <w:t xml:space="preserve">team </w:t>
            </w:r>
            <w:r>
              <w:t xml:space="preserve">and other technical staff on a day-to-day basis. 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1DD89B2D" w14:textId="1AB325D0" w:rsidR="006E5D4E" w:rsidRDefault="006E5D4E" w:rsidP="00343D93">
            <w:r>
              <w:t>A flexible and supportive approach to students, researchers and staff</w:t>
            </w:r>
            <w:r w:rsidR="007705B4">
              <w:t>.</w:t>
            </w:r>
          </w:p>
          <w:p w14:paraId="534C6745" w14:textId="35B266E8" w:rsidR="006E5D4E" w:rsidRDefault="007705B4" w:rsidP="00343D93">
            <w:r>
              <w:t>A proactive approach to developing a welcoming and productive environment.</w:t>
            </w:r>
          </w:p>
          <w:p w14:paraId="6DA5CA0A" w14:textId="068ABD04" w:rsidR="003C11ED" w:rsidRDefault="003C11ED" w:rsidP="00343D93">
            <w:r>
              <w:t>UK driver’s licen</w:t>
            </w:r>
            <w:r w:rsidR="00EF2348">
              <w:t>c</w:t>
            </w:r>
            <w:r>
              <w:t>e</w:t>
            </w:r>
            <w:r w:rsidR="00EF2348">
              <w:t xml:space="preserve"> </w:t>
            </w:r>
            <w:r w:rsidR="00EF2348" w:rsidRPr="00EF2348">
              <w:t xml:space="preserve">and competence </w:t>
            </w:r>
            <w:r w:rsidR="003A4F26">
              <w:t xml:space="preserve">assessment to </w:t>
            </w:r>
            <w:r w:rsidR="00EF2348" w:rsidRPr="00EF2348">
              <w:t>drive Psychology Mobile research Unit.</w:t>
            </w:r>
          </w:p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52"/>
        <w:gridCol w:w="3344"/>
        <w:gridCol w:w="1318"/>
      </w:tblGrid>
      <w:tr w:rsidR="00013C10" w14:paraId="15BF08BA" w14:textId="77777777" w:rsidTr="00DA41F1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DA41F1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27388EDA" w14:textId="17FC2E31" w:rsidR="00601F61" w:rsidRDefault="00B02F38" w:rsidP="00601F61">
            <w:pPr>
              <w:spacing w:after="90"/>
            </w:pPr>
            <w:r>
              <w:t>Skill level equivalent to achievement of HNC, A-Level, NVQ3</w:t>
            </w:r>
            <w:r w:rsidR="00287575">
              <w:t xml:space="preserve"> </w:t>
            </w:r>
            <w:r w:rsidR="001A4ED7">
              <w:t>and/or</w:t>
            </w:r>
            <w:r w:rsidR="00287575">
              <w:t xml:space="preserve"> </w:t>
            </w:r>
            <w:r w:rsidR="00A7244A">
              <w:t xml:space="preserve">proven work experience acquired in relevant </w:t>
            </w:r>
            <w:r w:rsidR="00DA41F1">
              <w:t xml:space="preserve">technical support </w:t>
            </w:r>
            <w:r w:rsidR="00A7244A">
              <w:t>roles and job-related training.</w:t>
            </w:r>
          </w:p>
          <w:p w14:paraId="26FCD9BF" w14:textId="18A67AFA" w:rsidR="00DA41F1" w:rsidRDefault="00DA41F1" w:rsidP="00601F61">
            <w:pPr>
              <w:spacing w:after="90"/>
            </w:pPr>
            <w:r>
              <w:t>Experience of</w:t>
            </w:r>
            <w:r w:rsidRPr="00DA41F1">
              <w:t xml:space="preserve"> apply</w:t>
            </w:r>
            <w:r>
              <w:t>ing</w:t>
            </w:r>
            <w:r w:rsidRPr="00DA41F1">
              <w:t xml:space="preserve"> understanding </w:t>
            </w:r>
            <w:r w:rsidR="00C6580F">
              <w:t>to</w:t>
            </w:r>
            <w:r w:rsidRPr="00DA41F1">
              <w:t xml:space="preserve"> technical equipment, processes and procedures.</w:t>
            </w:r>
          </w:p>
          <w:p w14:paraId="212558F8" w14:textId="3BCA68E9" w:rsidR="00DA41F1" w:rsidRDefault="00DA41F1" w:rsidP="00601F61">
            <w:pPr>
              <w:spacing w:after="90"/>
            </w:pPr>
            <w:r w:rsidRPr="00DA41F1">
              <w:t>Able to demonstrate a good understanding of technical processes relating to work area.</w:t>
            </w:r>
          </w:p>
          <w:p w14:paraId="08FDE056" w14:textId="77777777" w:rsidR="00312C9E" w:rsidRDefault="00312C9E" w:rsidP="00601F61">
            <w:pPr>
              <w:spacing w:after="90"/>
            </w:pPr>
            <w:r w:rsidRPr="00312C9E">
              <w:t>Ability to make effective use of standard office computer systems including word-processing and spreadsheets</w:t>
            </w:r>
            <w:r>
              <w:t>.</w:t>
            </w:r>
          </w:p>
          <w:p w14:paraId="15BF08BC" w14:textId="5B5FCEC3" w:rsidR="00873BE7" w:rsidRDefault="00873BE7" w:rsidP="00601F61">
            <w:pPr>
              <w:spacing w:after="90"/>
            </w:pPr>
            <w:r>
              <w:t xml:space="preserve">Ability to </w:t>
            </w:r>
            <w:r w:rsidR="00F739FE">
              <w:t>identify s</w:t>
            </w:r>
            <w:r>
              <w:t>tandard IT hardware</w:t>
            </w:r>
            <w:r w:rsidR="00F739FE">
              <w:t xml:space="preserve"> and connect systems for operation.</w:t>
            </w:r>
          </w:p>
        </w:tc>
        <w:tc>
          <w:tcPr>
            <w:tcW w:w="3402" w:type="dxa"/>
          </w:tcPr>
          <w:p w14:paraId="15BF08BD" w14:textId="586DC959" w:rsidR="00312C9E" w:rsidRDefault="00312C9E" w:rsidP="003A4F26">
            <w:pPr>
              <w:spacing w:after="90"/>
            </w:pPr>
          </w:p>
        </w:tc>
        <w:tc>
          <w:tcPr>
            <w:tcW w:w="1330" w:type="dxa"/>
          </w:tcPr>
          <w:p w14:paraId="15BF08BE" w14:textId="202F8582" w:rsidR="00013C10" w:rsidRDefault="009449D3" w:rsidP="00343D93">
            <w:pPr>
              <w:spacing w:after="90"/>
            </w:pPr>
            <w:r>
              <w:t>CV and Interview</w:t>
            </w:r>
          </w:p>
        </w:tc>
      </w:tr>
      <w:tr w:rsidR="00013C10" w14:paraId="15BF08C4" w14:textId="77777777" w:rsidTr="00DA41F1">
        <w:tc>
          <w:tcPr>
            <w:tcW w:w="1617" w:type="dxa"/>
          </w:tcPr>
          <w:p w14:paraId="15BF08C0" w14:textId="59D19CD8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38F50C91" w14:textId="77777777" w:rsidR="00D73BB9" w:rsidRDefault="00601F61" w:rsidP="00702D64">
            <w:pPr>
              <w:spacing w:after="90"/>
            </w:pPr>
            <w:r>
              <w:t>Able to plan and prioritise a range of one’s own, and the team’s, standard and non-standard work activities.</w:t>
            </w:r>
          </w:p>
          <w:p w14:paraId="15BF08C1" w14:textId="45764446" w:rsidR="00601F61" w:rsidRDefault="00601F61" w:rsidP="00DA41F1">
            <w:pPr>
              <w:spacing w:after="90"/>
            </w:pPr>
          </w:p>
        </w:tc>
        <w:tc>
          <w:tcPr>
            <w:tcW w:w="3402" w:type="dxa"/>
          </w:tcPr>
          <w:p w14:paraId="15BF08C2" w14:textId="65260054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65FD42FA" w:rsidR="00013C10" w:rsidRDefault="009449D3" w:rsidP="00343D93">
            <w:pPr>
              <w:spacing w:after="90"/>
            </w:pPr>
            <w:r>
              <w:t>CV and Interview</w:t>
            </w:r>
          </w:p>
        </w:tc>
      </w:tr>
      <w:tr w:rsidR="00013C10" w14:paraId="15BF08C9" w14:textId="77777777" w:rsidTr="00DA41F1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36559A72" w14:textId="24466680" w:rsidR="00DA41F1" w:rsidRDefault="00DA41F1" w:rsidP="00DA41F1">
            <w:pPr>
              <w:spacing w:after="90"/>
            </w:pPr>
            <w:r>
              <w:t xml:space="preserve">Experience of contributing innovative ideas in order to solve technical problems. </w:t>
            </w:r>
          </w:p>
          <w:p w14:paraId="15BF08C6" w14:textId="20218696" w:rsidR="00D73BB9" w:rsidRDefault="00DA41F1" w:rsidP="00DA41F1">
            <w:pPr>
              <w:spacing w:after="90"/>
            </w:pPr>
            <w:r>
              <w:t>Experience of using judgement to find solutions to problems for which no standard procedure exist.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17306CC8" w:rsidR="00013C10" w:rsidRDefault="009449D3" w:rsidP="00343D93">
            <w:pPr>
              <w:spacing w:after="90"/>
            </w:pPr>
            <w:r>
              <w:t>CV and Interview</w:t>
            </w:r>
          </w:p>
        </w:tc>
      </w:tr>
      <w:tr w:rsidR="00013C10" w14:paraId="15BF08CE" w14:textId="77777777" w:rsidTr="00DA41F1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424D9E23" w14:textId="45B241AA" w:rsidR="00DA41F1" w:rsidRDefault="00DA41F1" w:rsidP="00702D64">
            <w:pPr>
              <w:spacing w:after="90"/>
            </w:pPr>
            <w:r w:rsidRPr="00DA41F1">
              <w:t>Experience of providing training/coaching to colleagues and students in relation to technical tasks</w:t>
            </w:r>
          </w:p>
          <w:p w14:paraId="0FDBB4AC" w14:textId="77777777" w:rsidR="00617FAD" w:rsidRDefault="00A7244A" w:rsidP="00702D64">
            <w:pPr>
              <w:spacing w:after="90"/>
            </w:pPr>
            <w:r>
              <w:t>Able to solicit ideas and opinions to help form specific work plans.</w:t>
            </w:r>
          </w:p>
          <w:p w14:paraId="222CB08A" w14:textId="77777777" w:rsidR="00A7244A" w:rsidRDefault="00A7244A" w:rsidP="00702D64">
            <w:pPr>
              <w:spacing w:after="90"/>
            </w:pPr>
            <w:r>
              <w:t>Able to positively influence the way a team works together.</w:t>
            </w:r>
          </w:p>
          <w:p w14:paraId="15BF08CB" w14:textId="5E4BDAFD" w:rsidR="00312C9E" w:rsidRDefault="00A7244A" w:rsidP="00DA41F1">
            <w:pPr>
              <w:spacing w:after="90"/>
            </w:pPr>
            <w:r>
              <w:t>Able to ensure staff are clear about changing work priorities and service expectations.</w:t>
            </w:r>
          </w:p>
        </w:tc>
        <w:tc>
          <w:tcPr>
            <w:tcW w:w="3402" w:type="dxa"/>
          </w:tcPr>
          <w:p w14:paraId="5A3B5357" w14:textId="77777777" w:rsidR="00DA41F1" w:rsidRDefault="00312C9E" w:rsidP="00343D93">
            <w:pPr>
              <w:spacing w:after="90"/>
            </w:pPr>
            <w:r>
              <w:t>Successful supervisory experience.</w:t>
            </w:r>
          </w:p>
          <w:p w14:paraId="15BF08CC" w14:textId="30F9129D" w:rsidR="00013C10" w:rsidRDefault="00DA41F1" w:rsidP="00343D93">
            <w:pPr>
              <w:spacing w:after="90"/>
            </w:pPr>
            <w:r w:rsidRPr="00312C9E">
              <w:t xml:space="preserve">Ability to effectively allocate to, and check work of staff, coaching/ training and motivating staff as required.  </w:t>
            </w:r>
          </w:p>
        </w:tc>
        <w:tc>
          <w:tcPr>
            <w:tcW w:w="1330" w:type="dxa"/>
          </w:tcPr>
          <w:p w14:paraId="15BF08CD" w14:textId="7BCB3985" w:rsidR="00013C10" w:rsidRDefault="009449D3" w:rsidP="00343D93">
            <w:pPr>
              <w:spacing w:after="90"/>
            </w:pPr>
            <w:r>
              <w:t>CV and Interview</w:t>
            </w:r>
          </w:p>
        </w:tc>
      </w:tr>
      <w:tr w:rsidR="00013C10" w14:paraId="15BF08D3" w14:textId="77777777" w:rsidTr="00DA41F1">
        <w:tc>
          <w:tcPr>
            <w:tcW w:w="1617" w:type="dxa"/>
          </w:tcPr>
          <w:p w14:paraId="15BF08CF" w14:textId="277D6EAF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29B6B353" w14:textId="77777777" w:rsidR="00D50678" w:rsidRDefault="00601F61" w:rsidP="00702D64">
            <w:pPr>
              <w:spacing w:after="90"/>
            </w:pPr>
            <w:r>
              <w:t>Able to elicit information to identify specific customer needs.</w:t>
            </w:r>
          </w:p>
          <w:p w14:paraId="626CB8A4" w14:textId="2943D787" w:rsidR="00601F61" w:rsidRDefault="00601F61" w:rsidP="00702D64">
            <w:pPr>
              <w:spacing w:after="90"/>
            </w:pPr>
            <w:r>
              <w:t>Able to offe</w:t>
            </w:r>
            <w:r w:rsidR="00DA41F1">
              <w:t>r proactive advice and guidance on technical processes and procedures.</w:t>
            </w:r>
          </w:p>
          <w:p w14:paraId="2A37CEC6" w14:textId="0CEDDEC0" w:rsidR="00DA41F1" w:rsidRDefault="00DA41F1" w:rsidP="00DA41F1">
            <w:pPr>
              <w:spacing w:after="90"/>
            </w:pPr>
            <w:r>
              <w:t>Able to communicate and liaise with users of the technical services, both internal and external to the department.</w:t>
            </w:r>
          </w:p>
          <w:p w14:paraId="15BF08D0" w14:textId="1BBECB8D" w:rsidR="00312C9E" w:rsidRDefault="00312C9E" w:rsidP="00DA41F1">
            <w:pPr>
              <w:spacing w:after="90"/>
            </w:pPr>
          </w:p>
        </w:tc>
        <w:tc>
          <w:tcPr>
            <w:tcW w:w="3402" w:type="dxa"/>
          </w:tcPr>
          <w:p w14:paraId="1A1F5774" w14:textId="77777777" w:rsidR="00013C10" w:rsidRDefault="002E3727" w:rsidP="00343D93">
            <w:pPr>
              <w:spacing w:after="90"/>
            </w:pPr>
            <w:r>
              <w:t>Experience of supporting teaching</w:t>
            </w:r>
          </w:p>
          <w:p w14:paraId="7E6A9383" w14:textId="77777777" w:rsidR="001762E2" w:rsidRDefault="001762E2" w:rsidP="00343D93">
            <w:pPr>
              <w:spacing w:after="90"/>
            </w:pPr>
          </w:p>
          <w:p w14:paraId="15BF08D1" w14:textId="59AA0605" w:rsidR="001762E2" w:rsidRDefault="001762E2" w:rsidP="00343D93">
            <w:pPr>
              <w:spacing w:after="90"/>
            </w:pPr>
            <w:r>
              <w:t>Experience of demonstration skills</w:t>
            </w:r>
          </w:p>
        </w:tc>
        <w:tc>
          <w:tcPr>
            <w:tcW w:w="1330" w:type="dxa"/>
          </w:tcPr>
          <w:p w14:paraId="15BF08D2" w14:textId="6C5D35F7" w:rsidR="00013C10" w:rsidRDefault="009449D3" w:rsidP="00343D93">
            <w:pPr>
              <w:spacing w:after="90"/>
            </w:pPr>
            <w:r>
              <w:t>CV and Interview</w:t>
            </w:r>
          </w:p>
        </w:tc>
      </w:tr>
      <w:tr w:rsidR="00013C10" w14:paraId="15BF08D8" w14:textId="77777777" w:rsidTr="00DA41F1">
        <w:tc>
          <w:tcPr>
            <w:tcW w:w="1617" w:type="dxa"/>
          </w:tcPr>
          <w:p w14:paraId="15BF08D4" w14:textId="610A4D9E" w:rsidR="00013C10" w:rsidRPr="00FD5B0E" w:rsidRDefault="00013C10" w:rsidP="00321CAA">
            <w:r w:rsidRPr="00FD5B0E">
              <w:lastRenderedPageBreak/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5BF08D5" w14:textId="5E27710B" w:rsidR="00013C10" w:rsidRDefault="002E3727" w:rsidP="00702D64">
            <w:pPr>
              <w:spacing w:after="90"/>
            </w:pPr>
            <w:r>
              <w:t xml:space="preserve">Interest in </w:t>
            </w:r>
            <w:r w:rsidR="00630C75">
              <w:t>science / engineering.</w:t>
            </w:r>
          </w:p>
        </w:tc>
        <w:tc>
          <w:tcPr>
            <w:tcW w:w="3402" w:type="dxa"/>
          </w:tcPr>
          <w:p w14:paraId="15BF08D6" w14:textId="66088E94" w:rsidR="00013C10" w:rsidRDefault="002E3727" w:rsidP="00343D93">
            <w:pPr>
              <w:spacing w:after="90"/>
            </w:pPr>
            <w:r>
              <w:t xml:space="preserve">Mechanical and electrical </w:t>
            </w:r>
            <w:r w:rsidR="009449D3">
              <w:t>skills to aid fault finding, repair and innovation.</w:t>
            </w:r>
          </w:p>
        </w:tc>
        <w:tc>
          <w:tcPr>
            <w:tcW w:w="1330" w:type="dxa"/>
          </w:tcPr>
          <w:p w14:paraId="15BF08D7" w14:textId="2A9580D8" w:rsidR="00013C10" w:rsidRDefault="009449D3" w:rsidP="00343D93">
            <w:pPr>
              <w:spacing w:after="90"/>
            </w:pPr>
            <w:r>
              <w:t>CV and Interview</w:t>
            </w:r>
          </w:p>
        </w:tc>
      </w:tr>
      <w:tr w:rsidR="00013C10" w14:paraId="15BF08DD" w14:textId="77777777" w:rsidTr="00DA41F1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768DFB4A" w14:textId="77777777" w:rsidR="004F11FB" w:rsidRDefault="004F11FB" w:rsidP="004F11FB">
            <w:pPr>
              <w:spacing w:after="90"/>
            </w:pPr>
            <w:r>
              <w:t>Willingness to drive University vehicles.</w:t>
            </w:r>
          </w:p>
          <w:p w14:paraId="7D1054B1" w14:textId="77777777" w:rsidR="004F11FB" w:rsidRDefault="004F11FB" w:rsidP="00343D93">
            <w:pPr>
              <w:spacing w:after="90"/>
            </w:pPr>
          </w:p>
          <w:p w14:paraId="13EEE51B" w14:textId="60782AD7" w:rsidR="00013C10" w:rsidRDefault="00DA41F1" w:rsidP="00343D93">
            <w:pPr>
              <w:spacing w:after="90"/>
            </w:pPr>
            <w:r w:rsidRPr="00DA41F1">
              <w:t>Willingness to undertake Health and Safety training specific to role</w:t>
            </w:r>
            <w:r>
              <w:t>.</w:t>
            </w:r>
          </w:p>
          <w:p w14:paraId="15BF08DA" w14:textId="3F0BFFF8" w:rsidR="003C11ED" w:rsidRDefault="003C11ED" w:rsidP="003C11ED">
            <w:pPr>
              <w:spacing w:after="90"/>
            </w:pPr>
          </w:p>
        </w:tc>
        <w:tc>
          <w:tcPr>
            <w:tcW w:w="3402" w:type="dxa"/>
          </w:tcPr>
          <w:p w14:paraId="6663E85E" w14:textId="2921666C" w:rsidR="004F11FB" w:rsidRDefault="004F11FB" w:rsidP="00343D93">
            <w:pPr>
              <w:spacing w:after="90"/>
            </w:pPr>
            <w:r>
              <w:t>UK driving license</w:t>
            </w:r>
            <w:r w:rsidR="0097466E">
              <w:t>.</w:t>
            </w:r>
          </w:p>
          <w:p w14:paraId="332BAB34" w14:textId="77777777" w:rsidR="004F11FB" w:rsidRDefault="004F11FB" w:rsidP="00343D93">
            <w:pPr>
              <w:spacing w:after="90"/>
            </w:pPr>
          </w:p>
          <w:p w14:paraId="7EDC8D62" w14:textId="77777777" w:rsidR="004F11FB" w:rsidRDefault="004F11FB" w:rsidP="00343D93">
            <w:pPr>
              <w:spacing w:after="90"/>
            </w:pPr>
          </w:p>
          <w:p w14:paraId="15BF08DB" w14:textId="6D75ACA0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447CA713" w:rsidR="00013C10" w:rsidRDefault="009449D3" w:rsidP="00343D93">
            <w:pPr>
              <w:spacing w:after="90"/>
            </w:pPr>
            <w:r>
              <w:t>CV and Interview</w:t>
            </w: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000000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753677B7" w:rsidR="00D3349E" w:rsidRDefault="00000000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D1D1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2A3F0D2A" w:rsidR="0012209D" w:rsidRPr="009957AE" w:rsidRDefault="002D1D19" w:rsidP="00321CAA">
            <w:pPr>
              <w:rPr>
                <w:sz w:val="16"/>
                <w:szCs w:val="16"/>
              </w:rPr>
            </w:pPr>
            <w:r>
              <w:rPr>
                <w:rFonts w:ascii="Wingdings 2" w:eastAsia="Wingdings 2" w:hAnsi="Wingdings 2" w:cs="Wingdings 2"/>
                <w:sz w:val="16"/>
                <w:szCs w:val="16"/>
              </w:rPr>
              <w:t>P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63B78448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19DDFCD2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  <w:r w:rsidR="002D1D19">
              <w:rPr>
                <w:sz w:val="16"/>
                <w:szCs w:val="16"/>
              </w:rPr>
              <w:t xml:space="preserve"> Chemicals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54A266B5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125AB1C6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3C62B6D2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180DF3AE" w:rsidR="0012209D" w:rsidRPr="009957AE" w:rsidRDefault="002D1D19" w:rsidP="00321CAA">
            <w:pPr>
              <w:rPr>
                <w:sz w:val="16"/>
                <w:szCs w:val="16"/>
              </w:rPr>
            </w:pPr>
            <w:r>
              <w:rPr>
                <w:rFonts w:ascii="Wingdings 2" w:eastAsia="Wingdings 2" w:hAnsi="Wingdings 2" w:cs="Wingdings 2"/>
                <w:sz w:val="16"/>
                <w:szCs w:val="16"/>
              </w:rPr>
              <w:t>P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6A4A0F1C" w:rsidR="0012209D" w:rsidRPr="009957AE" w:rsidRDefault="002D1D19" w:rsidP="00321CAA">
            <w:pPr>
              <w:rPr>
                <w:sz w:val="16"/>
                <w:szCs w:val="16"/>
              </w:rPr>
            </w:pPr>
            <w:r>
              <w:rPr>
                <w:rFonts w:ascii="Wingdings 2" w:eastAsia="Wingdings 2" w:hAnsi="Wingdings 2" w:cs="Wingdings 2"/>
                <w:sz w:val="16"/>
                <w:szCs w:val="16"/>
              </w:rPr>
              <w:t>P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283AAA68" w:rsidR="0012209D" w:rsidRPr="009957AE" w:rsidRDefault="007E001C" w:rsidP="00321CAA">
            <w:pPr>
              <w:rPr>
                <w:sz w:val="16"/>
                <w:szCs w:val="16"/>
              </w:rPr>
            </w:pPr>
            <w:r>
              <w:rPr>
                <w:rFonts w:ascii="Wingdings 2" w:eastAsia="Wingdings 2" w:hAnsi="Wingdings 2" w:cs="Wingdings 2"/>
                <w:sz w:val="16"/>
                <w:szCs w:val="16"/>
              </w:rPr>
              <w:t>P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6DA80E67" w:rsidR="0012209D" w:rsidRPr="009957AE" w:rsidRDefault="007E001C" w:rsidP="00321CAA">
            <w:pPr>
              <w:rPr>
                <w:sz w:val="16"/>
                <w:szCs w:val="16"/>
              </w:rPr>
            </w:pPr>
            <w:r>
              <w:rPr>
                <w:rFonts w:ascii="Wingdings 2" w:eastAsia="Wingdings 2" w:hAnsi="Wingdings 2" w:cs="Wingdings 2"/>
                <w:sz w:val="16"/>
                <w:szCs w:val="16"/>
              </w:rPr>
              <w:t>P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663206C5" w:rsidR="0012209D" w:rsidRPr="009957AE" w:rsidRDefault="007E001C" w:rsidP="00321CAA">
            <w:pPr>
              <w:rPr>
                <w:sz w:val="16"/>
                <w:szCs w:val="16"/>
              </w:rPr>
            </w:pPr>
            <w:r>
              <w:rPr>
                <w:rFonts w:ascii="Wingdings 2" w:eastAsia="Wingdings 2" w:hAnsi="Wingdings 2" w:cs="Wingdings 2"/>
                <w:sz w:val="16"/>
                <w:szCs w:val="16"/>
              </w:rPr>
              <w:t>P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36328827" w:rsidR="0012209D" w:rsidRPr="009957AE" w:rsidRDefault="002D1D19" w:rsidP="00321CAA">
            <w:pPr>
              <w:rPr>
                <w:sz w:val="16"/>
                <w:szCs w:val="16"/>
              </w:rPr>
            </w:pPr>
            <w:r>
              <w:rPr>
                <w:rFonts w:ascii="Wingdings 2" w:eastAsia="Wingdings 2" w:hAnsi="Wingdings 2" w:cs="Wingdings 2"/>
                <w:sz w:val="16"/>
                <w:szCs w:val="16"/>
              </w:rPr>
              <w:t>P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1E7DA151" w:rsidR="0012209D" w:rsidRPr="009957AE" w:rsidRDefault="00042675" w:rsidP="00321CAA">
            <w:pPr>
              <w:rPr>
                <w:sz w:val="16"/>
                <w:szCs w:val="16"/>
              </w:rPr>
            </w:pPr>
            <w:r>
              <w:rPr>
                <w:rFonts w:ascii="Wingdings 2" w:eastAsia="Wingdings 2" w:hAnsi="Wingdings 2" w:cs="Wingdings 2"/>
                <w:sz w:val="16"/>
                <w:szCs w:val="16"/>
              </w:rPr>
              <w:t>P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633D6F37" w:rsidR="0012209D" w:rsidRPr="009957AE" w:rsidRDefault="007E001C" w:rsidP="00321CAA">
            <w:pPr>
              <w:rPr>
                <w:sz w:val="16"/>
                <w:szCs w:val="16"/>
              </w:rPr>
            </w:pPr>
            <w:r>
              <w:rPr>
                <w:rFonts w:ascii="Wingdings 2" w:eastAsia="Wingdings 2" w:hAnsi="Wingdings 2" w:cs="Wingdings 2"/>
                <w:sz w:val="16"/>
                <w:szCs w:val="16"/>
              </w:rPr>
              <w:t>P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46E07D1A" w:rsidR="0012209D" w:rsidRPr="009957AE" w:rsidRDefault="007E001C" w:rsidP="00321CAA">
            <w:pPr>
              <w:rPr>
                <w:sz w:val="16"/>
                <w:szCs w:val="16"/>
              </w:rPr>
            </w:pPr>
            <w:r>
              <w:rPr>
                <w:rFonts w:ascii="Wingdings 2" w:eastAsia="Wingdings 2" w:hAnsi="Wingdings 2" w:cs="Wingdings 2"/>
                <w:sz w:val="16"/>
                <w:szCs w:val="16"/>
              </w:rPr>
              <w:t>P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2D2C2C68" w:rsidR="0012209D" w:rsidRPr="009957AE" w:rsidRDefault="007E001C" w:rsidP="00321CAA">
            <w:pPr>
              <w:rPr>
                <w:sz w:val="16"/>
                <w:szCs w:val="16"/>
              </w:rPr>
            </w:pPr>
            <w:r>
              <w:rPr>
                <w:rFonts w:ascii="Wingdings 2" w:eastAsia="Wingdings 2" w:hAnsi="Wingdings 2" w:cs="Wingdings 2"/>
                <w:sz w:val="16"/>
                <w:szCs w:val="16"/>
              </w:rPr>
              <w:t>P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12B06315" w:rsidR="0012209D" w:rsidRPr="009957AE" w:rsidRDefault="007E001C" w:rsidP="00321CAA">
            <w:pPr>
              <w:rPr>
                <w:sz w:val="16"/>
                <w:szCs w:val="16"/>
              </w:rPr>
            </w:pPr>
            <w:r>
              <w:rPr>
                <w:rFonts w:ascii="Wingdings 2" w:eastAsia="Wingdings 2" w:hAnsi="Wingdings 2" w:cs="Wingdings 2"/>
                <w:sz w:val="16"/>
                <w:szCs w:val="16"/>
              </w:rPr>
              <w:t>P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4B9E17FC" w:rsidR="0012209D" w:rsidRPr="009957AE" w:rsidRDefault="002D1D19" w:rsidP="00321CAA">
            <w:pPr>
              <w:rPr>
                <w:sz w:val="16"/>
                <w:szCs w:val="16"/>
              </w:rPr>
            </w:pPr>
            <w:r>
              <w:rPr>
                <w:rFonts w:ascii="Wingdings 2" w:eastAsia="Wingdings 2" w:hAnsi="Wingdings 2" w:cs="Wingdings 2"/>
                <w:sz w:val="16"/>
                <w:szCs w:val="16"/>
              </w:rPr>
              <w:t>P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E0501" w14:textId="77777777" w:rsidR="00175DAA" w:rsidRDefault="00175DAA">
      <w:r>
        <w:separator/>
      </w:r>
    </w:p>
    <w:p w14:paraId="0422B6C2" w14:textId="77777777" w:rsidR="00175DAA" w:rsidRDefault="00175DAA"/>
  </w:endnote>
  <w:endnote w:type="continuationSeparator" w:id="0">
    <w:p w14:paraId="54522F4C" w14:textId="77777777" w:rsidR="00175DAA" w:rsidRDefault="00175DAA">
      <w:r>
        <w:continuationSeparator/>
      </w:r>
    </w:p>
    <w:p w14:paraId="6FED5A09" w14:textId="77777777" w:rsidR="00175DAA" w:rsidRDefault="00175D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6A0CF8B3" w:rsidR="00062768" w:rsidRDefault="001A4ED7" w:rsidP="00A7690B">
    <w:pPr>
      <w:pStyle w:val="ContinuationFooter"/>
    </w:pPr>
    <w:fldSimple w:instr=" FILENAME   \* MERGEFORMAT ">
      <w:r w:rsidR="00E264FD">
        <w:t>Template</w:t>
      </w:r>
      <w:r w:rsidR="00746AEB">
        <w:t xml:space="preserve"> Job Description</w:t>
      </w:r>
      <w:r w:rsidR="00E264FD">
        <w:t xml:space="preserve"> - </w:t>
      </w:r>
    </w:fldSimple>
    <w:r w:rsidR="00DA41F1">
      <w:t>TAE</w:t>
    </w:r>
    <w:r w:rsidR="00746AEB">
      <w:t xml:space="preserve"> Level </w:t>
    </w:r>
    <w:r w:rsidR="00B02F38">
      <w:t>3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3C11ED">
      <w:t>4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A31E0" w14:textId="77777777" w:rsidR="00175DAA" w:rsidRDefault="00175DAA">
      <w:r>
        <w:separator/>
      </w:r>
    </w:p>
    <w:p w14:paraId="314819B8" w14:textId="77777777" w:rsidR="00175DAA" w:rsidRDefault="00175DAA"/>
  </w:footnote>
  <w:footnote w:type="continuationSeparator" w:id="0">
    <w:p w14:paraId="0B1FF190" w14:textId="77777777" w:rsidR="00175DAA" w:rsidRDefault="00175DAA">
      <w:r>
        <w:continuationSeparator/>
      </w:r>
    </w:p>
    <w:p w14:paraId="6382CA26" w14:textId="77777777" w:rsidR="00175DAA" w:rsidRDefault="00175D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49"/>
    </w:tblGrid>
    <w:tr w:rsidR="00062768" w14:paraId="15BF0981" w14:textId="77777777" w:rsidTr="00C55382">
      <w:trPr>
        <w:trHeight w:hRule="exact" w:val="170"/>
      </w:trPr>
      <w:tc>
        <w:tcPr>
          <w:tcW w:w="964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C55382">
      <w:trPr>
        <w:trHeight w:val="889"/>
      </w:trPr>
      <w:tc>
        <w:tcPr>
          <w:tcW w:w="964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4D3479B2" w:rsidR="0005274A" w:rsidRPr="0005274A" w:rsidRDefault="00F84583" w:rsidP="00C55382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13713788">
    <w:abstractNumId w:val="17"/>
  </w:num>
  <w:num w:numId="2" w16cid:durableId="649485674">
    <w:abstractNumId w:val="0"/>
  </w:num>
  <w:num w:numId="3" w16cid:durableId="874539865">
    <w:abstractNumId w:val="13"/>
  </w:num>
  <w:num w:numId="4" w16cid:durableId="1829403317">
    <w:abstractNumId w:val="9"/>
  </w:num>
  <w:num w:numId="5" w16cid:durableId="2008945519">
    <w:abstractNumId w:val="10"/>
  </w:num>
  <w:num w:numId="6" w16cid:durableId="771097856">
    <w:abstractNumId w:val="7"/>
  </w:num>
  <w:num w:numId="7" w16cid:durableId="100105592">
    <w:abstractNumId w:val="3"/>
  </w:num>
  <w:num w:numId="8" w16cid:durableId="1590700393">
    <w:abstractNumId w:val="5"/>
  </w:num>
  <w:num w:numId="9" w16cid:durableId="49378558">
    <w:abstractNumId w:val="1"/>
  </w:num>
  <w:num w:numId="10" w16cid:durableId="595141287">
    <w:abstractNumId w:val="8"/>
  </w:num>
  <w:num w:numId="11" w16cid:durableId="1964849522">
    <w:abstractNumId w:val="4"/>
  </w:num>
  <w:num w:numId="12" w16cid:durableId="1568373964">
    <w:abstractNumId w:val="14"/>
  </w:num>
  <w:num w:numId="13" w16cid:durableId="237447834">
    <w:abstractNumId w:val="15"/>
  </w:num>
  <w:num w:numId="14" w16cid:durableId="1454520698">
    <w:abstractNumId w:val="6"/>
  </w:num>
  <w:num w:numId="15" w16cid:durableId="96020564">
    <w:abstractNumId w:val="2"/>
  </w:num>
  <w:num w:numId="16" w16cid:durableId="704478670">
    <w:abstractNumId w:val="11"/>
  </w:num>
  <w:num w:numId="17" w16cid:durableId="1409425239">
    <w:abstractNumId w:val="12"/>
  </w:num>
  <w:num w:numId="18" w16cid:durableId="1777598695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42675"/>
    <w:rsid w:val="0005274A"/>
    <w:rsid w:val="000620EB"/>
    <w:rsid w:val="00062768"/>
    <w:rsid w:val="00063081"/>
    <w:rsid w:val="00071653"/>
    <w:rsid w:val="000824F4"/>
    <w:rsid w:val="0008504D"/>
    <w:rsid w:val="00092818"/>
    <w:rsid w:val="000978E8"/>
    <w:rsid w:val="000B1DED"/>
    <w:rsid w:val="000B4E5A"/>
    <w:rsid w:val="00102BCB"/>
    <w:rsid w:val="00111F8C"/>
    <w:rsid w:val="0012209D"/>
    <w:rsid w:val="00130AA0"/>
    <w:rsid w:val="00132B03"/>
    <w:rsid w:val="001532E2"/>
    <w:rsid w:val="00156F2F"/>
    <w:rsid w:val="001754AE"/>
    <w:rsid w:val="00175DAA"/>
    <w:rsid w:val="001762E2"/>
    <w:rsid w:val="001770F5"/>
    <w:rsid w:val="0018144C"/>
    <w:rsid w:val="001840EA"/>
    <w:rsid w:val="001A4ED7"/>
    <w:rsid w:val="001B6986"/>
    <w:rsid w:val="001C5C5C"/>
    <w:rsid w:val="001D0B37"/>
    <w:rsid w:val="001D5201"/>
    <w:rsid w:val="001E24BE"/>
    <w:rsid w:val="001F5D7A"/>
    <w:rsid w:val="00205458"/>
    <w:rsid w:val="00236BFE"/>
    <w:rsid w:val="00241441"/>
    <w:rsid w:val="0024539C"/>
    <w:rsid w:val="00254722"/>
    <w:rsid w:val="002547F5"/>
    <w:rsid w:val="00260333"/>
    <w:rsid w:val="00260B1D"/>
    <w:rsid w:val="00265D2F"/>
    <w:rsid w:val="00266C6A"/>
    <w:rsid w:val="0028509A"/>
    <w:rsid w:val="00287575"/>
    <w:rsid w:val="0029356A"/>
    <w:rsid w:val="0029789A"/>
    <w:rsid w:val="00297B4F"/>
    <w:rsid w:val="002A70BE"/>
    <w:rsid w:val="002C6198"/>
    <w:rsid w:val="002D1D19"/>
    <w:rsid w:val="002D4DF4"/>
    <w:rsid w:val="002E3727"/>
    <w:rsid w:val="002F52FC"/>
    <w:rsid w:val="00301F09"/>
    <w:rsid w:val="00305ECA"/>
    <w:rsid w:val="00312C9E"/>
    <w:rsid w:val="00313CC8"/>
    <w:rsid w:val="003178D9"/>
    <w:rsid w:val="0034151E"/>
    <w:rsid w:val="00343D93"/>
    <w:rsid w:val="00356E31"/>
    <w:rsid w:val="00360551"/>
    <w:rsid w:val="00364B2C"/>
    <w:rsid w:val="003701F7"/>
    <w:rsid w:val="003734E0"/>
    <w:rsid w:val="003A2001"/>
    <w:rsid w:val="003A4F26"/>
    <w:rsid w:val="003B0262"/>
    <w:rsid w:val="003B7540"/>
    <w:rsid w:val="003C11ED"/>
    <w:rsid w:val="003C3A7F"/>
    <w:rsid w:val="004263FE"/>
    <w:rsid w:val="00434A40"/>
    <w:rsid w:val="00453107"/>
    <w:rsid w:val="00463797"/>
    <w:rsid w:val="00467596"/>
    <w:rsid w:val="00474D00"/>
    <w:rsid w:val="004978F1"/>
    <w:rsid w:val="004B2A50"/>
    <w:rsid w:val="004C0252"/>
    <w:rsid w:val="004E08BC"/>
    <w:rsid w:val="004E1194"/>
    <w:rsid w:val="004F11FB"/>
    <w:rsid w:val="0051744C"/>
    <w:rsid w:val="00520C86"/>
    <w:rsid w:val="00524005"/>
    <w:rsid w:val="0053219C"/>
    <w:rsid w:val="00541CE0"/>
    <w:rsid w:val="005470C6"/>
    <w:rsid w:val="005534E1"/>
    <w:rsid w:val="00573487"/>
    <w:rsid w:val="00580CBF"/>
    <w:rsid w:val="005822CA"/>
    <w:rsid w:val="005907B3"/>
    <w:rsid w:val="005949FA"/>
    <w:rsid w:val="005A5D17"/>
    <w:rsid w:val="005D0B43"/>
    <w:rsid w:val="005D44D1"/>
    <w:rsid w:val="00601F61"/>
    <w:rsid w:val="00604A5F"/>
    <w:rsid w:val="00617FAD"/>
    <w:rsid w:val="006249FD"/>
    <w:rsid w:val="00630C75"/>
    <w:rsid w:val="00651280"/>
    <w:rsid w:val="00655C5D"/>
    <w:rsid w:val="00671F76"/>
    <w:rsid w:val="00680547"/>
    <w:rsid w:val="00695D76"/>
    <w:rsid w:val="006B1AF6"/>
    <w:rsid w:val="006C3BB7"/>
    <w:rsid w:val="006E3D0E"/>
    <w:rsid w:val="006E5D4E"/>
    <w:rsid w:val="006F44EB"/>
    <w:rsid w:val="00702D64"/>
    <w:rsid w:val="0070376B"/>
    <w:rsid w:val="00746AEB"/>
    <w:rsid w:val="00761108"/>
    <w:rsid w:val="007705B4"/>
    <w:rsid w:val="00780F1B"/>
    <w:rsid w:val="00791076"/>
    <w:rsid w:val="0079197B"/>
    <w:rsid w:val="00791A2A"/>
    <w:rsid w:val="007C22CC"/>
    <w:rsid w:val="007C6FAA"/>
    <w:rsid w:val="007E001C"/>
    <w:rsid w:val="007E2D19"/>
    <w:rsid w:val="007F2AEA"/>
    <w:rsid w:val="00813365"/>
    <w:rsid w:val="00813A2C"/>
    <w:rsid w:val="0082020C"/>
    <w:rsid w:val="0082075E"/>
    <w:rsid w:val="00833223"/>
    <w:rsid w:val="008443D8"/>
    <w:rsid w:val="00846FB3"/>
    <w:rsid w:val="00854B1E"/>
    <w:rsid w:val="00856B8A"/>
    <w:rsid w:val="00863933"/>
    <w:rsid w:val="00873BE7"/>
    <w:rsid w:val="00876272"/>
    <w:rsid w:val="00883499"/>
    <w:rsid w:val="00885FD1"/>
    <w:rsid w:val="008961F9"/>
    <w:rsid w:val="008C7A02"/>
    <w:rsid w:val="008D52C9"/>
    <w:rsid w:val="008D7BC8"/>
    <w:rsid w:val="008F03C7"/>
    <w:rsid w:val="009027AA"/>
    <w:rsid w:val="009064A9"/>
    <w:rsid w:val="0092517C"/>
    <w:rsid w:val="009419A4"/>
    <w:rsid w:val="009449D3"/>
    <w:rsid w:val="00945F4B"/>
    <w:rsid w:val="009464AF"/>
    <w:rsid w:val="009477B1"/>
    <w:rsid w:val="00951229"/>
    <w:rsid w:val="00954E47"/>
    <w:rsid w:val="00965BFB"/>
    <w:rsid w:val="00970E28"/>
    <w:rsid w:val="0097466E"/>
    <w:rsid w:val="0098120F"/>
    <w:rsid w:val="00995579"/>
    <w:rsid w:val="00996476"/>
    <w:rsid w:val="009B40F2"/>
    <w:rsid w:val="00A021B7"/>
    <w:rsid w:val="00A028EF"/>
    <w:rsid w:val="00A07764"/>
    <w:rsid w:val="00A131D9"/>
    <w:rsid w:val="00A14888"/>
    <w:rsid w:val="00A23226"/>
    <w:rsid w:val="00A23AE7"/>
    <w:rsid w:val="00A34296"/>
    <w:rsid w:val="00A521A9"/>
    <w:rsid w:val="00A70B05"/>
    <w:rsid w:val="00A7244A"/>
    <w:rsid w:val="00A7690B"/>
    <w:rsid w:val="00A8164E"/>
    <w:rsid w:val="00A925C0"/>
    <w:rsid w:val="00AA136E"/>
    <w:rsid w:val="00AA3CB5"/>
    <w:rsid w:val="00AC2B17"/>
    <w:rsid w:val="00AE1CA0"/>
    <w:rsid w:val="00AE39DC"/>
    <w:rsid w:val="00AE4DC4"/>
    <w:rsid w:val="00AE67E6"/>
    <w:rsid w:val="00B02F38"/>
    <w:rsid w:val="00B07251"/>
    <w:rsid w:val="00B219C9"/>
    <w:rsid w:val="00B30802"/>
    <w:rsid w:val="00B430BB"/>
    <w:rsid w:val="00B60378"/>
    <w:rsid w:val="00B665D7"/>
    <w:rsid w:val="00B70457"/>
    <w:rsid w:val="00B84C12"/>
    <w:rsid w:val="00BA3758"/>
    <w:rsid w:val="00BB4A42"/>
    <w:rsid w:val="00BB7845"/>
    <w:rsid w:val="00BF1CC6"/>
    <w:rsid w:val="00C008CF"/>
    <w:rsid w:val="00C55382"/>
    <w:rsid w:val="00C63396"/>
    <w:rsid w:val="00C6580F"/>
    <w:rsid w:val="00C907D0"/>
    <w:rsid w:val="00C976BD"/>
    <w:rsid w:val="00CB1F23"/>
    <w:rsid w:val="00CD04F0"/>
    <w:rsid w:val="00CE3A26"/>
    <w:rsid w:val="00D16D9D"/>
    <w:rsid w:val="00D3349E"/>
    <w:rsid w:val="00D50678"/>
    <w:rsid w:val="00D514E1"/>
    <w:rsid w:val="00D54AA2"/>
    <w:rsid w:val="00D55315"/>
    <w:rsid w:val="00D5587F"/>
    <w:rsid w:val="00D61F59"/>
    <w:rsid w:val="00D65B56"/>
    <w:rsid w:val="00D67D41"/>
    <w:rsid w:val="00D73BB9"/>
    <w:rsid w:val="00DA03C1"/>
    <w:rsid w:val="00DA41F1"/>
    <w:rsid w:val="00DC1CE3"/>
    <w:rsid w:val="00DC4DCD"/>
    <w:rsid w:val="00DE553C"/>
    <w:rsid w:val="00E06466"/>
    <w:rsid w:val="00E25775"/>
    <w:rsid w:val="00E264FD"/>
    <w:rsid w:val="00E363B8"/>
    <w:rsid w:val="00E63AC1"/>
    <w:rsid w:val="00E86D1A"/>
    <w:rsid w:val="00E96015"/>
    <w:rsid w:val="00EB589D"/>
    <w:rsid w:val="00ED2E52"/>
    <w:rsid w:val="00EE13FB"/>
    <w:rsid w:val="00EF2348"/>
    <w:rsid w:val="00F01EA0"/>
    <w:rsid w:val="00F135E0"/>
    <w:rsid w:val="00F378D2"/>
    <w:rsid w:val="00F60A00"/>
    <w:rsid w:val="00F73195"/>
    <w:rsid w:val="00F739FE"/>
    <w:rsid w:val="00F77159"/>
    <w:rsid w:val="00F84583"/>
    <w:rsid w:val="00F85DED"/>
    <w:rsid w:val="00F90F90"/>
    <w:rsid w:val="00FB7297"/>
    <w:rsid w:val="00FC2ADA"/>
    <w:rsid w:val="00FC2CD5"/>
    <w:rsid w:val="00FF140B"/>
    <w:rsid w:val="00FF246F"/>
    <w:rsid w:val="0775E8A2"/>
    <w:rsid w:val="162F0751"/>
    <w:rsid w:val="2540E567"/>
    <w:rsid w:val="2A155E6F"/>
    <w:rsid w:val="3E55CAB6"/>
    <w:rsid w:val="430FCD6A"/>
    <w:rsid w:val="441207A9"/>
    <w:rsid w:val="4D54F2D0"/>
    <w:rsid w:val="4DA25F9D"/>
    <w:rsid w:val="50D87D90"/>
    <w:rsid w:val="5AEE9F64"/>
    <w:rsid w:val="6470775C"/>
    <w:rsid w:val="7788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normaltextrun">
    <w:name w:val="normaltextrun"/>
    <w:basedOn w:val="DefaultParagraphFont"/>
    <w:rsid w:val="00434A40"/>
  </w:style>
  <w:style w:type="character" w:customStyle="1" w:styleId="eop">
    <w:name w:val="eop"/>
    <w:basedOn w:val="DefaultParagraphFont"/>
    <w:rsid w:val="00434A40"/>
  </w:style>
  <w:style w:type="paragraph" w:styleId="EndnoteText">
    <w:name w:val="endnote text"/>
    <w:basedOn w:val="Normal"/>
    <w:link w:val="EndnoteTextChar"/>
    <w:unhideWhenUsed/>
    <w:rsid w:val="00265D2F"/>
    <w:pPr>
      <w:spacing w:before="0"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65D2F"/>
    <w:rPr>
      <w:rFonts w:ascii="Lucida Sans" w:hAnsi="Lucida Sans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2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7" ma:contentTypeDescription="Create a new document." ma:contentTypeScope="" ma:versionID="82192e55bb5163f52d3137c527148237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10b228b527a4101bc51eaa17ca7396f2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649695-9CBD-4DC9-8B46-1007281D3F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6FBF6F-E649-4E4A-9386-AC80F3ED2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1053</Words>
  <Characters>6005</Characters>
  <Application>Microsoft Office Word</Application>
  <DocSecurity>0</DocSecurity>
  <Lines>50</Lines>
  <Paragraphs>14</Paragraphs>
  <ScaleCrop>false</ScaleCrop>
  <Company>Southampton University</Company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Technician</dc:title>
  <dc:creator>Newton-Woof K.</dc:creator>
  <cp:keywords>V0.1</cp:keywords>
  <cp:lastModifiedBy>Paul Reynolds</cp:lastModifiedBy>
  <cp:revision>6</cp:revision>
  <cp:lastPrinted>2008-01-14T17:11:00Z</cp:lastPrinted>
  <dcterms:created xsi:type="dcterms:W3CDTF">2024-05-09T08:28:00Z</dcterms:created>
  <dcterms:modified xsi:type="dcterms:W3CDTF">2024-05-15T11:42:00Z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